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right="567"/>
        <w:jc w:val="center"/>
      </w:pPr>
      <w:r>
        <w:rPr/>
        <w:t>Active</w:t>
      </w:r>
      <w:r>
        <w:rPr>
          <w:spacing w:val="-7"/>
        </w:rPr>
        <w:t> </w:t>
      </w:r>
      <w:r>
        <w:rPr/>
        <w:t>Initiative</w:t>
      </w:r>
      <w:r>
        <w:rPr>
          <w:spacing w:val="-7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11"/>
        </w:rPr>
        <w:t> </w:t>
      </w:r>
      <w:r>
        <w:rPr/>
        <w:t>Report</w:t>
      </w:r>
      <w:r>
        <w:rPr>
          <w:spacing w:val="-7"/>
        </w:rPr>
        <w:t> </w:t>
      </w:r>
      <w:r>
        <w:rPr/>
        <w:t>January</w:t>
      </w:r>
      <w:r>
        <w:rPr>
          <w:spacing w:val="-10"/>
        </w:rPr>
        <w:t> </w:t>
      </w:r>
      <w:r>
        <w:rPr/>
        <w:t>17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/>
        <w:t>25,</w:t>
      </w:r>
      <w:r>
        <w:rPr>
          <w:spacing w:val="-6"/>
        </w:rPr>
        <w:t> </w:t>
      </w:r>
      <w:r>
        <w:rPr>
          <w:spacing w:val="-4"/>
        </w:rPr>
        <w:t>2024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Reentry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 forced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281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849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727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Clemency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Legislature, Governor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County,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>
      <w:pPr>
        <w:spacing w:after="0" w:line="253" w:lineRule="exact"/>
        <w:rPr>
          <w:sz w:val="24"/>
        </w:rPr>
        <w:sectPr>
          <w:footerReference w:type="default" r:id="rId5"/>
          <w:type w:val="continuous"/>
          <w:pgSz w:w="20160" w:h="12240" w:orient="landscape"/>
          <w:pgMar w:header="0" w:footer="494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Disney</w:t>
            </w:r>
            <w:r>
              <w:rPr>
                <w:spacing w:val="-4"/>
                <w:sz w:val="24"/>
              </w:rPr>
              <w:t> 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Abortion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2,121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1,440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681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official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2"/>
                <w:sz w:val="24"/>
              </w:rPr>
              <w:t> 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63500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1/25/2024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60001pt;margin-top:576.320007pt;width:50pt;height:13.05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1/25/2024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Pg.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Pg.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2024-01-25T15:44:54Z</dcterms:created>
  <dcterms:modified xsi:type="dcterms:W3CDTF">2024-01-25T15:44:54Z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Excel® for Microsoft 365</vt:lpwstr>
  </property>
</Properties>
</file>